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F3" w:rsidRDefault="00036FF3" w:rsidP="00427716">
      <w:pPr>
        <w:jc w:val="center"/>
        <w:rPr>
          <w:b/>
        </w:rPr>
      </w:pPr>
    </w:p>
    <w:p w:rsidR="0050360D" w:rsidRPr="0050360D" w:rsidRDefault="00615726" w:rsidP="0050360D">
      <w:pPr>
        <w:spacing w:after="120"/>
        <w:jc w:val="center"/>
        <w:rPr>
          <w:b/>
          <w:sz w:val="32"/>
          <w:szCs w:val="32"/>
        </w:rPr>
      </w:pPr>
      <w:bookmarkStart w:id="0" w:name="_GoBack"/>
      <w:r w:rsidRPr="0050360D">
        <w:rPr>
          <w:b/>
          <w:sz w:val="32"/>
          <w:szCs w:val="32"/>
        </w:rPr>
        <w:t xml:space="preserve">L’émergence des </w:t>
      </w:r>
      <w:r w:rsidR="00427716" w:rsidRPr="0050360D">
        <w:rPr>
          <w:b/>
          <w:sz w:val="32"/>
          <w:szCs w:val="32"/>
        </w:rPr>
        <w:t>Énergies</w:t>
      </w:r>
      <w:r w:rsidR="003B4CE2" w:rsidRPr="0050360D">
        <w:rPr>
          <w:b/>
          <w:sz w:val="32"/>
          <w:szCs w:val="32"/>
        </w:rPr>
        <w:t xml:space="preserve"> Marines R</w:t>
      </w:r>
      <w:r w:rsidRPr="0050360D">
        <w:rPr>
          <w:b/>
          <w:sz w:val="32"/>
          <w:szCs w:val="32"/>
        </w:rPr>
        <w:t xml:space="preserve">enouvelables en Méditerranée. </w:t>
      </w:r>
    </w:p>
    <w:p w:rsidR="00615726" w:rsidRPr="0050360D" w:rsidRDefault="00615726" w:rsidP="0050360D">
      <w:pPr>
        <w:spacing w:after="120"/>
        <w:jc w:val="center"/>
        <w:rPr>
          <w:b/>
          <w:sz w:val="32"/>
          <w:szCs w:val="32"/>
        </w:rPr>
      </w:pPr>
      <w:r w:rsidRPr="0050360D">
        <w:rPr>
          <w:b/>
          <w:sz w:val="32"/>
          <w:szCs w:val="32"/>
        </w:rPr>
        <w:t>Enjeux juridiques et socio-économiques</w:t>
      </w:r>
      <w:r w:rsidR="00072E2B" w:rsidRPr="0050360D">
        <w:rPr>
          <w:b/>
          <w:sz w:val="32"/>
          <w:szCs w:val="32"/>
        </w:rPr>
        <w:t>.</w:t>
      </w:r>
    </w:p>
    <w:p w:rsidR="0050360D" w:rsidRDefault="0050360D" w:rsidP="0050360D">
      <w:pPr>
        <w:spacing w:after="120"/>
        <w:jc w:val="center"/>
        <w:rPr>
          <w:b/>
        </w:rPr>
      </w:pPr>
    </w:p>
    <w:p w:rsidR="0050360D" w:rsidRPr="0050360D" w:rsidRDefault="0050360D" w:rsidP="0050360D">
      <w:pPr>
        <w:spacing w:after="120"/>
        <w:jc w:val="center"/>
        <w:rPr>
          <w:b/>
        </w:rPr>
      </w:pPr>
      <w:r w:rsidRPr="0050360D">
        <w:rPr>
          <w:b/>
        </w:rPr>
        <w:t>Marseille, le jeudi 12 mai 2016</w:t>
      </w:r>
      <w:r w:rsidR="0070744C">
        <w:rPr>
          <w:b/>
        </w:rPr>
        <w:t xml:space="preserve"> (à confirmer)</w:t>
      </w:r>
    </w:p>
    <w:p w:rsidR="0050360D" w:rsidRPr="0050360D" w:rsidRDefault="0050360D" w:rsidP="0050360D">
      <w:pPr>
        <w:spacing w:after="120"/>
        <w:jc w:val="center"/>
      </w:pPr>
      <w:r w:rsidRPr="0050360D">
        <w:rPr>
          <w:b/>
        </w:rPr>
        <w:t>Villa Méditerranée</w:t>
      </w:r>
    </w:p>
    <w:bookmarkEnd w:id="0"/>
    <w:p w:rsidR="0050360D" w:rsidRDefault="0050360D" w:rsidP="00C36F24">
      <w:pPr>
        <w:spacing w:after="120"/>
        <w:rPr>
          <w:i/>
          <w:szCs w:val="24"/>
        </w:rPr>
      </w:pPr>
    </w:p>
    <w:p w:rsidR="003B4CE2" w:rsidRDefault="003B4CE2" w:rsidP="00C36F24">
      <w:pPr>
        <w:spacing w:after="120"/>
        <w:rPr>
          <w:i/>
          <w:szCs w:val="24"/>
        </w:rPr>
      </w:pPr>
      <w:r w:rsidRPr="00427716">
        <w:rPr>
          <w:i/>
          <w:szCs w:val="24"/>
        </w:rPr>
        <w:t>Prenant appui sur l’actualité du projet Provence Grand Large visant l’implantation d’un parc pilote d’éoliennes offshore flottantes à axe vertical au large de Fos, ce colloque visera notamment à faire la lumière sur la façon dont le droit français peut accompagner l’émergence d’une filière EMR en Méditerranée.</w:t>
      </w:r>
    </w:p>
    <w:p w:rsidR="0050360D" w:rsidRDefault="0050360D">
      <w:pPr>
        <w:rPr>
          <w:b/>
        </w:rPr>
      </w:pPr>
    </w:p>
    <w:p w:rsidR="00615726" w:rsidRPr="00D53F77" w:rsidRDefault="0091159A">
      <w:pPr>
        <w:rPr>
          <w:b/>
        </w:rPr>
      </w:pPr>
      <w:r>
        <w:rPr>
          <w:b/>
        </w:rPr>
        <w:t>Projet de p</w:t>
      </w:r>
      <w:r w:rsidR="00615726" w:rsidRPr="00D53F77">
        <w:rPr>
          <w:b/>
        </w:rPr>
        <w:t>ro</w:t>
      </w:r>
      <w:r w:rsidR="00FE5E2B">
        <w:rPr>
          <w:b/>
        </w:rPr>
        <w:t>gramme</w:t>
      </w:r>
      <w:r w:rsidR="00615726" w:rsidRPr="00D53F77">
        <w:rPr>
          <w:b/>
        </w:rPr>
        <w:t> :</w:t>
      </w:r>
    </w:p>
    <w:p w:rsidR="00036FF3" w:rsidRDefault="00036FF3" w:rsidP="00D53F77">
      <w:pPr>
        <w:spacing w:after="60"/>
        <w:rPr>
          <w:szCs w:val="24"/>
          <w:u w:val="single"/>
        </w:rPr>
        <w:sectPr w:rsidR="00036FF3" w:rsidSect="00036FF3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53F77" w:rsidRPr="0050360D" w:rsidRDefault="00D53F77" w:rsidP="00D53F77">
      <w:pPr>
        <w:spacing w:after="60"/>
        <w:rPr>
          <w:sz w:val="22"/>
          <w:u w:val="single"/>
        </w:rPr>
      </w:pPr>
      <w:r w:rsidRPr="0050360D">
        <w:rPr>
          <w:sz w:val="22"/>
          <w:u w:val="single"/>
        </w:rPr>
        <w:lastRenderedPageBreak/>
        <w:t xml:space="preserve">8h30 – </w:t>
      </w:r>
      <w:r w:rsidR="00072E2B" w:rsidRPr="0050360D">
        <w:rPr>
          <w:sz w:val="22"/>
          <w:u w:val="single"/>
        </w:rPr>
        <w:t>Ouverture</w:t>
      </w:r>
    </w:p>
    <w:p w:rsidR="00D53F77" w:rsidRPr="0050360D" w:rsidRDefault="00D53F77" w:rsidP="00D53F77">
      <w:pPr>
        <w:spacing w:after="60"/>
        <w:rPr>
          <w:b/>
          <w:sz w:val="22"/>
        </w:rPr>
      </w:pPr>
    </w:p>
    <w:p w:rsidR="00D53F77" w:rsidRPr="0050360D" w:rsidRDefault="00D53F77" w:rsidP="00D53F77">
      <w:pPr>
        <w:spacing w:after="60"/>
        <w:rPr>
          <w:sz w:val="22"/>
          <w:u w:val="single"/>
        </w:rPr>
      </w:pPr>
      <w:r w:rsidRPr="0050360D">
        <w:rPr>
          <w:sz w:val="22"/>
          <w:u w:val="single"/>
        </w:rPr>
        <w:t>8h50 – Introduction </w:t>
      </w:r>
    </w:p>
    <w:p w:rsidR="00D53F77" w:rsidRPr="0050360D" w:rsidRDefault="00D53F77" w:rsidP="00D53F77">
      <w:pPr>
        <w:spacing w:after="60"/>
        <w:rPr>
          <w:b/>
          <w:sz w:val="22"/>
        </w:rPr>
      </w:pPr>
    </w:p>
    <w:p w:rsidR="00D53F77" w:rsidRPr="0050360D" w:rsidRDefault="00D53F77" w:rsidP="00D53F77">
      <w:pPr>
        <w:spacing w:after="60"/>
        <w:rPr>
          <w:sz w:val="22"/>
          <w:u w:val="single"/>
        </w:rPr>
      </w:pPr>
      <w:r w:rsidRPr="0050360D">
        <w:rPr>
          <w:sz w:val="22"/>
          <w:u w:val="single"/>
        </w:rPr>
        <w:t>9h15 – État des lieux et perspectives des EMR en France</w:t>
      </w:r>
    </w:p>
    <w:p w:rsidR="00D53F77" w:rsidRPr="0050360D" w:rsidRDefault="00D53F77" w:rsidP="00D53F77">
      <w:pPr>
        <w:pStyle w:val="ListParagraph"/>
        <w:numPr>
          <w:ilvl w:val="0"/>
          <w:numId w:val="1"/>
        </w:numPr>
        <w:spacing w:after="60" w:line="240" w:lineRule="auto"/>
        <w:ind w:left="567" w:hanging="283"/>
        <w:rPr>
          <w:rFonts w:asciiTheme="minorHAnsi" w:hAnsiTheme="minorHAnsi" w:cstheme="minorHAnsi"/>
        </w:rPr>
      </w:pPr>
      <w:r w:rsidRPr="0050360D">
        <w:rPr>
          <w:rFonts w:asciiTheme="minorHAnsi" w:hAnsiTheme="minorHAnsi" w:cstheme="minorHAnsi"/>
        </w:rPr>
        <w:t xml:space="preserve">Présentation générale (AO1, AO2…) : intervenant à identifier </w:t>
      </w:r>
    </w:p>
    <w:p w:rsidR="0070744C" w:rsidRDefault="00D53F77" w:rsidP="00D53F77">
      <w:pPr>
        <w:pStyle w:val="ListParagraph"/>
        <w:numPr>
          <w:ilvl w:val="0"/>
          <w:numId w:val="1"/>
        </w:numPr>
        <w:spacing w:after="60" w:line="240" w:lineRule="auto"/>
        <w:ind w:left="567" w:hanging="283"/>
        <w:rPr>
          <w:rFonts w:asciiTheme="minorHAnsi" w:hAnsiTheme="minorHAnsi" w:cstheme="minorHAnsi"/>
        </w:rPr>
      </w:pPr>
      <w:r w:rsidRPr="0070744C">
        <w:rPr>
          <w:rFonts w:asciiTheme="minorHAnsi" w:hAnsiTheme="minorHAnsi" w:cstheme="minorHAnsi"/>
        </w:rPr>
        <w:t xml:space="preserve">Présentation de l’AMI Flottant, ambitions </w:t>
      </w:r>
      <w:r w:rsidR="0070744C">
        <w:rPr>
          <w:rFonts w:asciiTheme="minorHAnsi" w:hAnsiTheme="minorHAnsi" w:cstheme="minorHAnsi"/>
        </w:rPr>
        <w:t>méditerranéennes dans les EMR </w:t>
      </w:r>
    </w:p>
    <w:p w:rsidR="00D53F77" w:rsidRPr="0070744C" w:rsidRDefault="00D53F77" w:rsidP="00D53F77">
      <w:pPr>
        <w:pStyle w:val="ListParagraph"/>
        <w:numPr>
          <w:ilvl w:val="0"/>
          <w:numId w:val="1"/>
        </w:numPr>
        <w:spacing w:after="60" w:line="240" w:lineRule="auto"/>
        <w:ind w:left="567" w:hanging="283"/>
        <w:rPr>
          <w:rFonts w:asciiTheme="minorHAnsi" w:hAnsiTheme="minorHAnsi" w:cstheme="minorHAnsi"/>
        </w:rPr>
      </w:pPr>
      <w:r w:rsidRPr="0070744C">
        <w:rPr>
          <w:rFonts w:asciiTheme="minorHAnsi" w:hAnsiTheme="minorHAnsi" w:cstheme="minorHAnsi"/>
        </w:rPr>
        <w:t>Présent</w:t>
      </w:r>
      <w:r w:rsidR="0070744C">
        <w:rPr>
          <w:rFonts w:asciiTheme="minorHAnsi" w:hAnsiTheme="minorHAnsi" w:cstheme="minorHAnsi"/>
        </w:rPr>
        <w:t>ation de Provence Grand Large </w:t>
      </w:r>
    </w:p>
    <w:p w:rsidR="00D53F77" w:rsidRPr="0050360D" w:rsidRDefault="00D53F77" w:rsidP="00D53F77">
      <w:pPr>
        <w:pStyle w:val="ListParagraph"/>
        <w:numPr>
          <w:ilvl w:val="0"/>
          <w:numId w:val="1"/>
        </w:numPr>
        <w:spacing w:after="60" w:line="240" w:lineRule="auto"/>
        <w:ind w:left="567" w:hanging="283"/>
        <w:rPr>
          <w:rFonts w:asciiTheme="minorHAnsi" w:hAnsiTheme="minorHAnsi" w:cstheme="minorHAnsi"/>
        </w:rPr>
      </w:pPr>
      <w:r w:rsidRPr="0050360D">
        <w:rPr>
          <w:rFonts w:asciiTheme="minorHAnsi" w:hAnsiTheme="minorHAnsi" w:cstheme="minorHAnsi"/>
        </w:rPr>
        <w:t>Ambitions du GPMM</w:t>
      </w:r>
    </w:p>
    <w:p w:rsidR="00D53F77" w:rsidRPr="0050360D" w:rsidRDefault="00D53F77" w:rsidP="00D53F77">
      <w:pPr>
        <w:spacing w:after="60"/>
        <w:rPr>
          <w:b/>
          <w:sz w:val="22"/>
        </w:rPr>
      </w:pPr>
    </w:p>
    <w:p w:rsidR="00D53F77" w:rsidRPr="0050360D" w:rsidRDefault="00D53F77" w:rsidP="00D53F77">
      <w:pPr>
        <w:spacing w:after="60"/>
        <w:rPr>
          <w:sz w:val="22"/>
          <w:u w:val="single"/>
        </w:rPr>
      </w:pPr>
      <w:r w:rsidRPr="0050360D">
        <w:rPr>
          <w:sz w:val="22"/>
          <w:u w:val="single"/>
        </w:rPr>
        <w:t>10h30 – Table Ronde 1 : La sécurisation de la filière EMR</w:t>
      </w:r>
    </w:p>
    <w:p w:rsidR="00D53F77" w:rsidRPr="0050360D" w:rsidRDefault="00D53F77" w:rsidP="00D53F77">
      <w:pPr>
        <w:pStyle w:val="ListParagraph"/>
        <w:numPr>
          <w:ilvl w:val="0"/>
          <w:numId w:val="3"/>
        </w:numPr>
        <w:spacing w:after="60" w:line="240" w:lineRule="auto"/>
        <w:ind w:left="567" w:hanging="283"/>
        <w:rPr>
          <w:rFonts w:asciiTheme="minorHAnsi" w:hAnsiTheme="minorHAnsi" w:cstheme="minorHAnsi"/>
        </w:rPr>
      </w:pPr>
      <w:r w:rsidRPr="0050360D">
        <w:rPr>
          <w:rFonts w:asciiTheme="minorHAnsi" w:hAnsiTheme="minorHAnsi" w:cstheme="minorHAnsi"/>
        </w:rPr>
        <w:t xml:space="preserve">La simplification des procédures d’autorisation des projets EMR et la gestion des recours : </w:t>
      </w:r>
    </w:p>
    <w:p w:rsidR="00D53F77" w:rsidRPr="0050360D" w:rsidRDefault="00D53F77" w:rsidP="00D53F77">
      <w:pPr>
        <w:pStyle w:val="ListParagraph"/>
        <w:numPr>
          <w:ilvl w:val="0"/>
          <w:numId w:val="5"/>
        </w:numPr>
        <w:spacing w:after="60" w:line="240" w:lineRule="auto"/>
        <w:ind w:left="851" w:hanging="284"/>
        <w:rPr>
          <w:rFonts w:asciiTheme="minorHAnsi" w:hAnsiTheme="minorHAnsi" w:cstheme="minorHAnsi"/>
        </w:rPr>
      </w:pPr>
      <w:r w:rsidRPr="0050360D">
        <w:rPr>
          <w:rFonts w:asciiTheme="minorHAnsi" w:hAnsiTheme="minorHAnsi" w:cstheme="minorHAnsi"/>
        </w:rPr>
        <w:t xml:space="preserve">Loi de transition énergétique, biodiversité, décret EMR  </w:t>
      </w:r>
    </w:p>
    <w:p w:rsidR="00D53F77" w:rsidRPr="0070744C" w:rsidRDefault="00D53F77" w:rsidP="00D53F77">
      <w:pPr>
        <w:pStyle w:val="ListParagraph"/>
        <w:numPr>
          <w:ilvl w:val="0"/>
          <w:numId w:val="5"/>
        </w:numPr>
        <w:spacing w:after="60" w:line="240" w:lineRule="auto"/>
        <w:ind w:left="851" w:hanging="284"/>
        <w:rPr>
          <w:rFonts w:asciiTheme="minorHAnsi" w:hAnsiTheme="minorHAnsi" w:cstheme="minorHAnsi"/>
        </w:rPr>
      </w:pPr>
      <w:r w:rsidRPr="0070744C">
        <w:rPr>
          <w:rFonts w:asciiTheme="minorHAnsi" w:hAnsiTheme="minorHAnsi" w:cstheme="minorHAnsi"/>
        </w:rPr>
        <w:t>Retour d’expérience du développement du projet éolien de Saint Nazaire Les solutions apportées par le droit anglais </w:t>
      </w:r>
    </w:p>
    <w:p w:rsidR="00D53F77" w:rsidRPr="0050360D" w:rsidRDefault="00D53F77" w:rsidP="00D53F77">
      <w:pPr>
        <w:pStyle w:val="ListParagraph"/>
        <w:numPr>
          <w:ilvl w:val="0"/>
          <w:numId w:val="3"/>
        </w:numPr>
        <w:spacing w:after="60" w:line="240" w:lineRule="auto"/>
        <w:ind w:left="567" w:hanging="283"/>
        <w:rPr>
          <w:rFonts w:asciiTheme="minorHAnsi" w:hAnsiTheme="minorHAnsi" w:cstheme="minorHAnsi"/>
        </w:rPr>
      </w:pPr>
      <w:r w:rsidRPr="0050360D">
        <w:rPr>
          <w:rFonts w:asciiTheme="minorHAnsi" w:hAnsiTheme="minorHAnsi" w:cstheme="minorHAnsi"/>
        </w:rPr>
        <w:t xml:space="preserve">Le financement des projets EMR : </w:t>
      </w:r>
    </w:p>
    <w:p w:rsidR="00D53F77" w:rsidRPr="0050360D" w:rsidRDefault="00D53F77" w:rsidP="00D53F77">
      <w:pPr>
        <w:spacing w:after="60"/>
        <w:rPr>
          <w:b/>
          <w:sz w:val="22"/>
        </w:rPr>
      </w:pPr>
    </w:p>
    <w:p w:rsidR="00D53F77" w:rsidRPr="0050360D" w:rsidRDefault="00D53F77" w:rsidP="00D53F77">
      <w:pPr>
        <w:spacing w:after="60"/>
        <w:rPr>
          <w:sz w:val="22"/>
          <w:u w:val="single"/>
        </w:rPr>
      </w:pPr>
      <w:r w:rsidRPr="0050360D">
        <w:rPr>
          <w:sz w:val="22"/>
          <w:u w:val="single"/>
        </w:rPr>
        <w:t>12h00 – Pause déjeuner</w:t>
      </w:r>
    </w:p>
    <w:p w:rsidR="00D53F77" w:rsidRPr="0050360D" w:rsidRDefault="00D53F77" w:rsidP="00D53F77">
      <w:pPr>
        <w:spacing w:after="60"/>
        <w:rPr>
          <w:b/>
          <w:sz w:val="22"/>
        </w:rPr>
      </w:pPr>
    </w:p>
    <w:p w:rsidR="00D53F77" w:rsidRPr="0050360D" w:rsidRDefault="00D53F77" w:rsidP="00D53F77">
      <w:pPr>
        <w:spacing w:after="60"/>
        <w:rPr>
          <w:sz w:val="22"/>
          <w:u w:val="single"/>
        </w:rPr>
      </w:pPr>
      <w:r w:rsidRPr="0050360D">
        <w:rPr>
          <w:sz w:val="22"/>
          <w:u w:val="single"/>
        </w:rPr>
        <w:t>14h00 – Table Ronde 2 : L’intégration des EMR dans le paysage maritime français : le partage de l’espace maritime</w:t>
      </w:r>
    </w:p>
    <w:p w:rsidR="00D53F77" w:rsidRPr="0050360D" w:rsidRDefault="00D53F77" w:rsidP="00D53F77">
      <w:pPr>
        <w:pStyle w:val="ListParagraph"/>
        <w:numPr>
          <w:ilvl w:val="0"/>
          <w:numId w:val="2"/>
        </w:numPr>
        <w:spacing w:after="60" w:line="240" w:lineRule="auto"/>
        <w:ind w:left="567" w:hanging="283"/>
        <w:rPr>
          <w:rFonts w:asciiTheme="minorHAnsi" w:hAnsiTheme="minorHAnsi" w:cstheme="minorHAnsi"/>
        </w:rPr>
      </w:pPr>
      <w:r w:rsidRPr="0050360D">
        <w:rPr>
          <w:rFonts w:asciiTheme="minorHAnsi" w:hAnsiTheme="minorHAnsi" w:cstheme="minorHAnsi"/>
        </w:rPr>
        <w:t>Les enjeux de droit de la mer </w:t>
      </w:r>
    </w:p>
    <w:p w:rsidR="00D53F77" w:rsidRPr="0050360D" w:rsidRDefault="00D53F77" w:rsidP="00D53F77">
      <w:pPr>
        <w:pStyle w:val="ListParagraph"/>
        <w:numPr>
          <w:ilvl w:val="0"/>
          <w:numId w:val="2"/>
        </w:numPr>
        <w:spacing w:after="60" w:line="240" w:lineRule="auto"/>
        <w:ind w:left="567" w:hanging="283"/>
        <w:rPr>
          <w:rFonts w:asciiTheme="minorHAnsi" w:hAnsiTheme="minorHAnsi" w:cstheme="minorHAnsi"/>
        </w:rPr>
      </w:pPr>
      <w:r w:rsidRPr="0050360D">
        <w:rPr>
          <w:rFonts w:asciiTheme="minorHAnsi" w:hAnsiTheme="minorHAnsi" w:cstheme="minorHAnsi"/>
        </w:rPr>
        <w:lastRenderedPageBreak/>
        <w:t>La planification de l’espace maritim</w:t>
      </w:r>
      <w:r w:rsidR="0070744C">
        <w:rPr>
          <w:rFonts w:asciiTheme="minorHAnsi" w:hAnsiTheme="minorHAnsi" w:cstheme="minorHAnsi"/>
        </w:rPr>
        <w:t>e et la conciliation des usages</w:t>
      </w:r>
    </w:p>
    <w:p w:rsidR="00D53F77" w:rsidRPr="0050360D" w:rsidRDefault="00D53F77" w:rsidP="00D53F77">
      <w:pPr>
        <w:spacing w:after="60"/>
        <w:rPr>
          <w:b/>
          <w:sz w:val="22"/>
        </w:rPr>
      </w:pPr>
    </w:p>
    <w:p w:rsidR="00D53F77" w:rsidRPr="0050360D" w:rsidRDefault="00D53F77" w:rsidP="00D53F77">
      <w:pPr>
        <w:spacing w:after="60"/>
        <w:rPr>
          <w:sz w:val="22"/>
          <w:u w:val="single"/>
        </w:rPr>
      </w:pPr>
      <w:r w:rsidRPr="0050360D">
        <w:rPr>
          <w:sz w:val="22"/>
          <w:u w:val="single"/>
        </w:rPr>
        <w:t>15h30 – Table Ronde 3 : Le droit des EMR, un nouveau droit industriel intégrant les risques maritimes</w:t>
      </w:r>
    </w:p>
    <w:p w:rsidR="0070744C" w:rsidRDefault="00D53F77" w:rsidP="00D53F77">
      <w:pPr>
        <w:pStyle w:val="ListParagraph"/>
        <w:numPr>
          <w:ilvl w:val="0"/>
          <w:numId w:val="4"/>
        </w:numPr>
        <w:spacing w:after="60" w:line="240" w:lineRule="auto"/>
        <w:ind w:left="567" w:hanging="283"/>
        <w:rPr>
          <w:rFonts w:asciiTheme="minorHAnsi" w:hAnsiTheme="minorHAnsi" w:cstheme="minorHAnsi"/>
        </w:rPr>
      </w:pPr>
      <w:r w:rsidRPr="0070744C">
        <w:rPr>
          <w:rFonts w:asciiTheme="minorHAnsi" w:hAnsiTheme="minorHAnsi" w:cstheme="minorHAnsi"/>
        </w:rPr>
        <w:t>Le droit du travail applicable aux opérateurs d’installations EMR </w:t>
      </w:r>
    </w:p>
    <w:p w:rsidR="00D53F77" w:rsidRPr="0070744C" w:rsidRDefault="00D53F77" w:rsidP="00D53F77">
      <w:pPr>
        <w:pStyle w:val="ListParagraph"/>
        <w:numPr>
          <w:ilvl w:val="0"/>
          <w:numId w:val="4"/>
        </w:numPr>
        <w:spacing w:after="60" w:line="240" w:lineRule="auto"/>
        <w:ind w:left="567" w:hanging="283"/>
        <w:rPr>
          <w:rFonts w:asciiTheme="minorHAnsi" w:hAnsiTheme="minorHAnsi" w:cstheme="minorHAnsi"/>
        </w:rPr>
      </w:pPr>
      <w:r w:rsidRPr="0070744C">
        <w:rPr>
          <w:rFonts w:asciiTheme="minorHAnsi" w:hAnsiTheme="minorHAnsi" w:cstheme="minorHAnsi"/>
        </w:rPr>
        <w:t xml:space="preserve">Le droit de la sécurité maritime applicable à des méga structures industrielles en mer  </w:t>
      </w:r>
    </w:p>
    <w:p w:rsidR="00D53F77" w:rsidRPr="0050360D" w:rsidRDefault="00D53F77" w:rsidP="00D53F77">
      <w:pPr>
        <w:pStyle w:val="ListParagraph"/>
        <w:numPr>
          <w:ilvl w:val="0"/>
          <w:numId w:val="4"/>
        </w:numPr>
        <w:spacing w:after="60" w:line="240" w:lineRule="auto"/>
        <w:ind w:left="567" w:hanging="283"/>
        <w:rPr>
          <w:rFonts w:asciiTheme="minorHAnsi" w:hAnsiTheme="minorHAnsi" w:cstheme="minorHAnsi"/>
        </w:rPr>
      </w:pPr>
      <w:r w:rsidRPr="0050360D">
        <w:rPr>
          <w:rFonts w:asciiTheme="minorHAnsi" w:hAnsiTheme="minorHAnsi" w:cstheme="minorHAnsi"/>
        </w:rPr>
        <w:t>Le risque «engin explosif historique» et le développement des installations offshore </w:t>
      </w:r>
    </w:p>
    <w:p w:rsidR="00D53F77" w:rsidRPr="0070744C" w:rsidRDefault="00D53F77" w:rsidP="00D53F77">
      <w:pPr>
        <w:pStyle w:val="ListParagraph"/>
        <w:numPr>
          <w:ilvl w:val="0"/>
          <w:numId w:val="4"/>
        </w:numPr>
        <w:spacing w:after="60" w:line="240" w:lineRule="auto"/>
        <w:ind w:left="567" w:hanging="283"/>
        <w:rPr>
          <w:b/>
        </w:rPr>
      </w:pPr>
      <w:r w:rsidRPr="0070744C">
        <w:rPr>
          <w:rFonts w:asciiTheme="minorHAnsi" w:hAnsiTheme="minorHAnsi" w:cstheme="minorHAnsi"/>
        </w:rPr>
        <w:t xml:space="preserve">L’appréhension des risques maritimes par les assureurs </w:t>
      </w:r>
    </w:p>
    <w:p w:rsidR="00D53F77" w:rsidRPr="0050360D" w:rsidRDefault="00D53F77" w:rsidP="00D53F77">
      <w:pPr>
        <w:spacing w:after="60"/>
        <w:rPr>
          <w:sz w:val="22"/>
          <w:u w:val="single"/>
        </w:rPr>
      </w:pPr>
      <w:r w:rsidRPr="0050360D">
        <w:rPr>
          <w:sz w:val="22"/>
          <w:u w:val="single"/>
        </w:rPr>
        <w:t>17h30 – Rapport de synthèse </w:t>
      </w:r>
    </w:p>
    <w:p w:rsidR="00615726" w:rsidRPr="0050360D" w:rsidRDefault="00615726">
      <w:pPr>
        <w:rPr>
          <w:sz w:val="22"/>
        </w:rPr>
      </w:pPr>
    </w:p>
    <w:sectPr w:rsidR="00615726" w:rsidRPr="0050360D" w:rsidSect="00036FF3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20" w:rsidRDefault="004F5D20" w:rsidP="00427716">
      <w:pPr>
        <w:spacing w:after="0" w:line="240" w:lineRule="auto"/>
      </w:pPr>
      <w:r>
        <w:separator/>
      </w:r>
    </w:p>
  </w:endnote>
  <w:endnote w:type="continuationSeparator" w:id="0">
    <w:p w:rsidR="004F5D20" w:rsidRDefault="004F5D20" w:rsidP="0042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F3" w:rsidRDefault="00036FF3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0F29461" wp14:editId="35332222">
          <wp:simplePos x="0" y="0"/>
          <wp:positionH relativeFrom="column">
            <wp:posOffset>-3175</wp:posOffset>
          </wp:positionH>
          <wp:positionV relativeFrom="paragraph">
            <wp:posOffset>-412115</wp:posOffset>
          </wp:positionV>
          <wp:extent cx="5760720" cy="748030"/>
          <wp:effectExtent l="0" t="0" r="0" b="0"/>
          <wp:wrapThrough wrapText="bothSides">
            <wp:wrapPolygon edited="0">
              <wp:start x="0" y="0"/>
              <wp:lineTo x="0" y="20903"/>
              <wp:lineTo x="21500" y="20903"/>
              <wp:lineTo x="21500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MT_Bas de Page_201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F3" w:rsidRDefault="00036FF3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7AA5270" wp14:editId="4C2962C9">
          <wp:simplePos x="0" y="0"/>
          <wp:positionH relativeFrom="column">
            <wp:posOffset>119380</wp:posOffset>
          </wp:positionH>
          <wp:positionV relativeFrom="paragraph">
            <wp:posOffset>-341630</wp:posOffset>
          </wp:positionV>
          <wp:extent cx="5760720" cy="748030"/>
          <wp:effectExtent l="0" t="0" r="0" b="0"/>
          <wp:wrapThrough wrapText="bothSides">
            <wp:wrapPolygon edited="0">
              <wp:start x="0" y="0"/>
              <wp:lineTo x="0" y="20903"/>
              <wp:lineTo x="21500" y="20903"/>
              <wp:lineTo x="21500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MT_Bas de Page_201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20" w:rsidRDefault="004F5D20" w:rsidP="00427716">
      <w:pPr>
        <w:spacing w:after="0" w:line="240" w:lineRule="auto"/>
      </w:pPr>
      <w:r>
        <w:separator/>
      </w:r>
    </w:p>
  </w:footnote>
  <w:footnote w:type="continuationSeparator" w:id="0">
    <w:p w:rsidR="004F5D20" w:rsidRDefault="004F5D20" w:rsidP="0042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F3" w:rsidRDefault="00036FF3">
    <w:pPr>
      <w:pStyle w:val="Header"/>
    </w:pPr>
    <w:r>
      <w:rPr>
        <w:noProof/>
        <w:lang w:val="en-US"/>
      </w:rPr>
      <w:drawing>
        <wp:inline distT="0" distB="0" distL="0" distR="0" wp14:anchorId="05B1447A" wp14:editId="7C9CB2CA">
          <wp:extent cx="1743473" cy="46584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D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947" cy="46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2283F19C" wp14:editId="3AD8BBD3">
          <wp:extent cx="1036109" cy="677730"/>
          <wp:effectExtent l="0" t="0" r="0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MT_Logo_CDE_Fac de Droit et CD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360" cy="675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A1"/>
    <w:multiLevelType w:val="hybridMultilevel"/>
    <w:tmpl w:val="C79C6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9BA"/>
    <w:multiLevelType w:val="hybridMultilevel"/>
    <w:tmpl w:val="F2CAD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900B4"/>
    <w:multiLevelType w:val="hybridMultilevel"/>
    <w:tmpl w:val="3D1A6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A36B3"/>
    <w:multiLevelType w:val="hybridMultilevel"/>
    <w:tmpl w:val="76BA48A8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20241D"/>
    <w:multiLevelType w:val="hybridMultilevel"/>
    <w:tmpl w:val="3D007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D1B47"/>
    <w:multiLevelType w:val="hybridMultilevel"/>
    <w:tmpl w:val="3E3A8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006AD"/>
    <w:multiLevelType w:val="hybridMultilevel"/>
    <w:tmpl w:val="72F82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53EA3"/>
    <w:multiLevelType w:val="hybridMultilevel"/>
    <w:tmpl w:val="852A3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F67C1"/>
    <w:multiLevelType w:val="hybridMultilevel"/>
    <w:tmpl w:val="4964E7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70"/>
    <w:rsid w:val="00036FF3"/>
    <w:rsid w:val="00072E2B"/>
    <w:rsid w:val="000B7FDC"/>
    <w:rsid w:val="000D06A5"/>
    <w:rsid w:val="003B4CE2"/>
    <w:rsid w:val="004211A2"/>
    <w:rsid w:val="00427716"/>
    <w:rsid w:val="004F5D20"/>
    <w:rsid w:val="0050360D"/>
    <w:rsid w:val="00532D37"/>
    <w:rsid w:val="00574128"/>
    <w:rsid w:val="00587FBD"/>
    <w:rsid w:val="00615726"/>
    <w:rsid w:val="006A1577"/>
    <w:rsid w:val="0070744C"/>
    <w:rsid w:val="008401FC"/>
    <w:rsid w:val="0089523D"/>
    <w:rsid w:val="008D693E"/>
    <w:rsid w:val="008F55A6"/>
    <w:rsid w:val="0091159A"/>
    <w:rsid w:val="009474E0"/>
    <w:rsid w:val="00975C9B"/>
    <w:rsid w:val="009E3E59"/>
    <w:rsid w:val="00A04519"/>
    <w:rsid w:val="00A550C4"/>
    <w:rsid w:val="00A734CB"/>
    <w:rsid w:val="00BB60A2"/>
    <w:rsid w:val="00C36F24"/>
    <w:rsid w:val="00CC443B"/>
    <w:rsid w:val="00CE0E80"/>
    <w:rsid w:val="00D4091C"/>
    <w:rsid w:val="00D53F77"/>
    <w:rsid w:val="00D74F41"/>
    <w:rsid w:val="00E552F4"/>
    <w:rsid w:val="00E96D09"/>
    <w:rsid w:val="00EA6870"/>
    <w:rsid w:val="00F40AF5"/>
    <w:rsid w:val="00F7189B"/>
    <w:rsid w:val="00F806F1"/>
    <w:rsid w:val="00FA3742"/>
    <w:rsid w:val="00FD2047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19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puces 2,Paragraphe de liste1"/>
    <w:basedOn w:val="Normal"/>
    <w:link w:val="ListParagraphChar"/>
    <w:uiPriority w:val="34"/>
    <w:qFormat/>
    <w:rsid w:val="00D53F77"/>
    <w:pPr>
      <w:ind w:left="720" w:right="118"/>
      <w:contextualSpacing/>
    </w:pPr>
    <w:rPr>
      <w:rFonts w:ascii="Arial" w:eastAsia="Times New Roman" w:hAnsi="Arial" w:cs="Arial"/>
      <w:sz w:val="22"/>
      <w:lang w:bidi="en-US"/>
    </w:rPr>
  </w:style>
  <w:style w:type="character" w:customStyle="1" w:styleId="ListParagraphChar">
    <w:name w:val="List Paragraph Char"/>
    <w:aliases w:val="Liste puces 2 Char,Paragraphe de liste1 Char"/>
    <w:basedOn w:val="DefaultParagraphFont"/>
    <w:link w:val="ListParagraph"/>
    <w:uiPriority w:val="34"/>
    <w:rsid w:val="00D53F77"/>
    <w:rPr>
      <w:rFonts w:ascii="Arial" w:eastAsia="Times New Roman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2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1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19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puces 2,Paragraphe de liste1"/>
    <w:basedOn w:val="Normal"/>
    <w:link w:val="ListParagraphChar"/>
    <w:uiPriority w:val="34"/>
    <w:qFormat/>
    <w:rsid w:val="00D53F77"/>
    <w:pPr>
      <w:ind w:left="720" w:right="118"/>
      <w:contextualSpacing/>
    </w:pPr>
    <w:rPr>
      <w:rFonts w:ascii="Arial" w:eastAsia="Times New Roman" w:hAnsi="Arial" w:cs="Arial"/>
      <w:sz w:val="22"/>
      <w:lang w:bidi="en-US"/>
    </w:rPr>
  </w:style>
  <w:style w:type="character" w:customStyle="1" w:styleId="ListParagraphChar">
    <w:name w:val="List Paragraph Char"/>
    <w:aliases w:val="Liste puces 2 Char,Paragraphe de liste1 Char"/>
    <w:basedOn w:val="DefaultParagraphFont"/>
    <w:link w:val="ListParagraph"/>
    <w:uiPriority w:val="34"/>
    <w:rsid w:val="00D53F77"/>
    <w:rPr>
      <w:rFonts w:ascii="Arial" w:eastAsia="Times New Roman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1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2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1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D176-BF96-B546-B61A-D8C8973F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BLOCH</dc:creator>
  <cp:lastModifiedBy>Cédric Leboeuf</cp:lastModifiedBy>
  <cp:revision>2</cp:revision>
  <cp:lastPrinted>2015-09-01T15:18:00Z</cp:lastPrinted>
  <dcterms:created xsi:type="dcterms:W3CDTF">2015-10-14T10:41:00Z</dcterms:created>
  <dcterms:modified xsi:type="dcterms:W3CDTF">2015-10-14T10:41:00Z</dcterms:modified>
</cp:coreProperties>
</file>